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0EF3A" w14:textId="77777777" w:rsidR="00C80E82" w:rsidRPr="00A665FE" w:rsidRDefault="00C80E82" w:rsidP="00C80E82">
      <w:pPr>
        <w:pStyle w:val="Titre1"/>
        <w:spacing w:before="5520"/>
        <w:jc w:val="center"/>
        <w:rPr>
          <w:rStyle w:val="Aucun"/>
          <w:rFonts w:eastAsia="Calibri" w:cs="Calibri"/>
          <w:u w:color="000000"/>
        </w:rPr>
      </w:pPr>
      <w:bookmarkStart w:id="0" w:name="_Toc43471315"/>
      <w:proofErr w:type="gramStart"/>
      <w:r w:rsidRPr="00A665FE">
        <w:rPr>
          <w:rStyle w:val="Aucun"/>
          <w:rFonts w:eastAsia="Calibri" w:cs="Calibri"/>
          <w:u w:color="000000"/>
        </w:rPr>
        <w:t>Démenti</w:t>
      </w:r>
      <w:r w:rsidRPr="00A665FE">
        <w:rPr>
          <w:rStyle w:val="Aucun"/>
          <w:rFonts w:eastAsia="Calibri" w:cs="Calibri" w:hint="cs"/>
          <w:u w:color="000000"/>
          <w:rtl/>
        </w:rPr>
        <w:t xml:space="preserve"> </w:t>
      </w:r>
      <w:r w:rsidRPr="00A665FE">
        <w:rPr>
          <w:rStyle w:val="Aucun"/>
          <w:rFonts w:eastAsia="Calibri" w:cs="Calibri"/>
          <w:u w:color="000000"/>
        </w:rPr>
        <w:t xml:space="preserve"> -</w:t>
      </w:r>
      <w:proofErr w:type="gramEnd"/>
      <w:r w:rsidRPr="00A665FE">
        <w:rPr>
          <w:rStyle w:val="Aucun"/>
          <w:rFonts w:eastAsia="Calibri" w:cs="Calibri"/>
          <w:u w:color="000000"/>
        </w:rPr>
        <w:t xml:space="preserve"> ADM apporte des précisions suite à certaines informations erronées relayées récemment au sujet des cartes d’abonnement et apporte quelques éléments d’éclairage. : 15 juin 2020</w:t>
      </w:r>
      <w:bookmarkEnd w:id="0"/>
    </w:p>
    <w:p w14:paraId="608660FB" w14:textId="77777777" w:rsidR="00C80E82" w:rsidRDefault="00C80E82" w:rsidP="00C80E82">
      <w:pPr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br w:type="page"/>
      </w:r>
    </w:p>
    <w:p w14:paraId="1E436004" w14:textId="77777777" w:rsidR="00C80E82" w:rsidRPr="00176B90" w:rsidRDefault="00C80E82" w:rsidP="00C80E82">
      <w:pPr>
        <w:spacing w:before="240"/>
        <w:ind w:right="-142"/>
        <w:jc w:val="center"/>
        <w:rPr>
          <w:rFonts w:asciiTheme="minorBidi" w:hAnsiTheme="minorBidi"/>
          <w:b/>
          <w:sz w:val="36"/>
          <w:szCs w:val="36"/>
          <w:u w:val="single"/>
        </w:rPr>
      </w:pPr>
      <w:r w:rsidRPr="00176B90">
        <w:rPr>
          <w:rFonts w:asciiTheme="minorBidi" w:hAnsiTheme="minorBidi"/>
          <w:b/>
          <w:sz w:val="36"/>
          <w:szCs w:val="36"/>
          <w:u w:val="single"/>
        </w:rPr>
        <w:lastRenderedPageBreak/>
        <w:t>Communiqué de presse</w:t>
      </w:r>
    </w:p>
    <w:p w14:paraId="19C74356" w14:textId="77777777" w:rsidR="00C80E82" w:rsidRPr="00176B90" w:rsidRDefault="00C80E82" w:rsidP="00C80E82">
      <w:pPr>
        <w:spacing w:before="120" w:after="120"/>
        <w:ind w:right="-142"/>
        <w:jc w:val="center"/>
        <w:rPr>
          <w:rFonts w:asciiTheme="minorBidi" w:hAnsiTheme="minorBidi"/>
          <w:b/>
          <w:sz w:val="36"/>
          <w:szCs w:val="36"/>
        </w:rPr>
      </w:pPr>
      <w:r w:rsidRPr="00176B90">
        <w:rPr>
          <w:rFonts w:asciiTheme="minorBidi" w:hAnsiTheme="minorBidi"/>
          <w:b/>
          <w:sz w:val="36"/>
          <w:szCs w:val="36"/>
        </w:rPr>
        <w:t>Démenti</w:t>
      </w:r>
    </w:p>
    <w:p w14:paraId="0C6EF178" w14:textId="77777777" w:rsidR="00C80E82" w:rsidRPr="00176B90" w:rsidRDefault="00C80E82" w:rsidP="00C80E82">
      <w:pPr>
        <w:ind w:right="-142"/>
        <w:jc w:val="both"/>
        <w:rPr>
          <w:rFonts w:asciiTheme="minorBidi" w:hAnsiTheme="minorBidi"/>
          <w:b/>
          <w:sz w:val="24"/>
          <w:szCs w:val="24"/>
        </w:rPr>
      </w:pPr>
      <w:r w:rsidRPr="00176B90">
        <w:rPr>
          <w:rFonts w:asciiTheme="minorBidi" w:hAnsiTheme="minorBidi"/>
          <w:b/>
          <w:sz w:val="24"/>
          <w:szCs w:val="24"/>
        </w:rPr>
        <w:t xml:space="preserve">ADM apporte des précisions </w:t>
      </w:r>
      <w:proofErr w:type="gramStart"/>
      <w:r w:rsidRPr="00176B90">
        <w:rPr>
          <w:rFonts w:asciiTheme="minorBidi" w:hAnsiTheme="minorBidi"/>
          <w:b/>
          <w:sz w:val="24"/>
          <w:szCs w:val="24"/>
        </w:rPr>
        <w:t>suite à</w:t>
      </w:r>
      <w:proofErr w:type="gramEnd"/>
      <w:r w:rsidRPr="00176B90">
        <w:rPr>
          <w:rFonts w:asciiTheme="minorBidi" w:hAnsiTheme="minorBidi"/>
          <w:b/>
          <w:sz w:val="24"/>
          <w:szCs w:val="24"/>
        </w:rPr>
        <w:t xml:space="preserve"> </w:t>
      </w:r>
      <w:r w:rsidRPr="00176B90">
        <w:rPr>
          <w:rFonts w:asciiTheme="minorBidi" w:hAnsiTheme="minorBidi"/>
          <w:b/>
          <w:sz w:val="24"/>
          <w:szCs w:val="24"/>
          <w:u w:val="single"/>
        </w:rPr>
        <w:t>certaines informations erronées</w:t>
      </w:r>
      <w:r w:rsidRPr="00176B90">
        <w:rPr>
          <w:rFonts w:asciiTheme="minorBidi" w:hAnsiTheme="minorBidi"/>
          <w:b/>
          <w:sz w:val="24"/>
          <w:szCs w:val="24"/>
        </w:rPr>
        <w:t xml:space="preserve"> relayées récemment au sujet des cartes d’abonnement et apporte quelques </w:t>
      </w:r>
      <w:r w:rsidRPr="00176B90">
        <w:rPr>
          <w:rFonts w:asciiTheme="minorBidi" w:hAnsiTheme="minorBidi"/>
          <w:b/>
          <w:sz w:val="24"/>
          <w:szCs w:val="24"/>
          <w:u w:val="single"/>
        </w:rPr>
        <w:t>éléments d’éclairage</w:t>
      </w:r>
      <w:r w:rsidRPr="00176B90">
        <w:rPr>
          <w:rFonts w:asciiTheme="minorBidi" w:hAnsiTheme="minorBidi"/>
          <w:b/>
          <w:sz w:val="24"/>
          <w:szCs w:val="24"/>
        </w:rPr>
        <w:t>.</w:t>
      </w:r>
    </w:p>
    <w:p w14:paraId="1732370D" w14:textId="77777777" w:rsidR="00C80E82" w:rsidRPr="00CB33A2" w:rsidRDefault="00C80E82" w:rsidP="00C80E82">
      <w:pPr>
        <w:spacing w:after="120"/>
        <w:ind w:right="-142"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  <w:b/>
          <w:u w:val="single"/>
        </w:rPr>
        <w:t xml:space="preserve">Rabat le </w:t>
      </w:r>
      <w:r>
        <w:rPr>
          <w:rFonts w:asciiTheme="minorBidi" w:hAnsiTheme="minorBidi" w:hint="cs"/>
          <w:b/>
          <w:u w:val="single"/>
          <w:rtl/>
        </w:rPr>
        <w:t>15</w:t>
      </w:r>
      <w:r w:rsidRPr="00CB33A2">
        <w:rPr>
          <w:rFonts w:asciiTheme="minorBidi" w:hAnsiTheme="minorBidi"/>
          <w:b/>
          <w:u w:val="single"/>
        </w:rPr>
        <w:t xml:space="preserve"> juin 2020</w:t>
      </w:r>
      <w:r w:rsidRPr="00CB33A2">
        <w:rPr>
          <w:rFonts w:asciiTheme="minorBidi" w:hAnsiTheme="minorBidi"/>
          <w:b/>
        </w:rPr>
        <w:t xml:space="preserve"> : </w:t>
      </w:r>
      <w:r w:rsidRPr="00CB33A2">
        <w:rPr>
          <w:rFonts w:asciiTheme="minorBidi" w:hAnsiTheme="minorBidi"/>
        </w:rPr>
        <w:t>la Société Nationale des Autoroutes du Maroc (ADM) dément les récentes informations au sujet de la suppression des cartes d’abonnement :</w:t>
      </w:r>
    </w:p>
    <w:p w14:paraId="7C76B8DF" w14:textId="77777777" w:rsidR="00C80E82" w:rsidRPr="00CB33A2" w:rsidRDefault="00C80E82" w:rsidP="00C80E82">
      <w:pPr>
        <w:pStyle w:val="Paragraphedeliste"/>
        <w:numPr>
          <w:ilvl w:val="0"/>
          <w:numId w:val="2"/>
        </w:numPr>
        <w:spacing w:after="20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Il n’y a aucune carte de paiement dédiée aux professionnels, </w:t>
      </w:r>
      <w:proofErr w:type="gramStart"/>
      <w:r w:rsidRPr="00CB33A2">
        <w:rPr>
          <w:rFonts w:asciiTheme="minorBidi" w:hAnsiTheme="minorBidi"/>
        </w:rPr>
        <w:t>les dites</w:t>
      </w:r>
      <w:proofErr w:type="gramEnd"/>
      <w:r w:rsidRPr="00CB33A2">
        <w:rPr>
          <w:rFonts w:asciiTheme="minorBidi" w:hAnsiTheme="minorBidi"/>
        </w:rPr>
        <w:t xml:space="preserve"> c</w:t>
      </w:r>
      <w:r w:rsidRPr="00CB33A2">
        <w:rPr>
          <w:rFonts w:asciiTheme="minorBidi" w:hAnsiTheme="minorBidi"/>
          <w:b/>
        </w:rPr>
        <w:t xml:space="preserve">artes professionnelles n’existent </w:t>
      </w:r>
      <w:r w:rsidRPr="00CB33A2">
        <w:rPr>
          <w:rFonts w:asciiTheme="minorBidi" w:hAnsiTheme="minorBidi"/>
        </w:rPr>
        <w:t>pas et n’ont jamais existé.</w:t>
      </w:r>
    </w:p>
    <w:p w14:paraId="719F4A54" w14:textId="77777777" w:rsidR="00C80E82" w:rsidRPr="00CB33A2" w:rsidRDefault="00C80E82" w:rsidP="00C80E82">
      <w:pPr>
        <w:pStyle w:val="Paragraphedeliste"/>
        <w:numPr>
          <w:ilvl w:val="0"/>
          <w:numId w:val="2"/>
        </w:numPr>
        <w:spacing w:after="20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Les seules cartes d’abonnement valables sur l’ensemble du réseau sont les </w:t>
      </w:r>
      <w:r w:rsidRPr="00CB33A2">
        <w:rPr>
          <w:rFonts w:asciiTheme="minorBidi" w:hAnsiTheme="minorBidi"/>
          <w:b/>
        </w:rPr>
        <w:t xml:space="preserve">cartes d’abonnement standard </w:t>
      </w:r>
      <w:r w:rsidRPr="00CB33A2">
        <w:rPr>
          <w:rFonts w:asciiTheme="minorBidi" w:hAnsiTheme="minorBidi"/>
        </w:rPr>
        <w:t>destinées à tous les usagers des autoroutes sans distinction. Les avantages de ces cartes n’ont connu aucun changement.</w:t>
      </w:r>
    </w:p>
    <w:p w14:paraId="06F37A85" w14:textId="77777777" w:rsidR="00C80E82" w:rsidRPr="00CB33A2" w:rsidRDefault="00C80E82" w:rsidP="00C80E82">
      <w:pPr>
        <w:pStyle w:val="Paragraphedeliste"/>
        <w:numPr>
          <w:ilvl w:val="0"/>
          <w:numId w:val="2"/>
        </w:numPr>
        <w:spacing w:after="12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Les cartes d’abonnement </w:t>
      </w:r>
      <w:r w:rsidRPr="00CB33A2">
        <w:rPr>
          <w:rFonts w:asciiTheme="minorBidi" w:hAnsiTheme="minorBidi"/>
          <w:b/>
        </w:rPr>
        <w:t>n’ont jamais été supprimées</w:t>
      </w:r>
      <w:r w:rsidRPr="00CB33A2">
        <w:rPr>
          <w:rFonts w:asciiTheme="minorBidi" w:hAnsiTheme="minorBidi"/>
        </w:rPr>
        <w:t xml:space="preserve"> elles sont toujours acceptées sur les voies de péage.</w:t>
      </w:r>
    </w:p>
    <w:p w14:paraId="45AFF97D" w14:textId="77777777" w:rsidR="00C80E82" w:rsidRPr="00CB33A2" w:rsidRDefault="00C80E82" w:rsidP="00C80E82">
      <w:pPr>
        <w:spacing w:after="120"/>
        <w:ind w:right="-142"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Par ailleurs, ADM tient à apporter quelques éléments d’éclairage sur la difficulté de sa situation économique actuelle et que malgré cela aucune décision de ce genre </w:t>
      </w:r>
      <w:r w:rsidRPr="00CB33A2">
        <w:rPr>
          <w:rFonts w:asciiTheme="minorBidi" w:hAnsiTheme="minorBidi"/>
          <w:b/>
        </w:rPr>
        <w:t>n’a été prise</w:t>
      </w:r>
      <w:r w:rsidRPr="00CB33A2">
        <w:rPr>
          <w:rFonts w:asciiTheme="minorBidi" w:hAnsiTheme="minorBidi"/>
        </w:rPr>
        <w:t xml:space="preserve"> jusqu’à présent :</w:t>
      </w:r>
    </w:p>
    <w:p w14:paraId="0B02FA98" w14:textId="77777777" w:rsidR="00C80E82" w:rsidRPr="00CB33A2" w:rsidRDefault="00C80E82" w:rsidP="00C80E82">
      <w:pPr>
        <w:spacing w:after="120"/>
        <w:ind w:right="-142"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Notre Pays traverse une crise sans précédent (COVID-19), ADM à l’instar des entreprises marocaines fait face à de </w:t>
      </w:r>
      <w:r w:rsidRPr="00CB33A2">
        <w:rPr>
          <w:rFonts w:asciiTheme="minorBidi" w:hAnsiTheme="minorBidi"/>
          <w:b/>
        </w:rPr>
        <w:t>grandes difficultés financières</w:t>
      </w:r>
      <w:r w:rsidRPr="00CB33A2">
        <w:rPr>
          <w:rFonts w:asciiTheme="minorBidi" w:hAnsiTheme="minorBidi"/>
        </w:rPr>
        <w:t xml:space="preserve"> qui menacent sérieusement ses équilibres ainsi que ceux de l’ensemble de son écosystème </w:t>
      </w:r>
      <w:proofErr w:type="gramStart"/>
      <w:r w:rsidRPr="00CB33A2">
        <w:rPr>
          <w:rFonts w:asciiTheme="minorBidi" w:hAnsiTheme="minorBidi"/>
        </w:rPr>
        <w:t>suite aux</w:t>
      </w:r>
      <w:proofErr w:type="gramEnd"/>
      <w:r w:rsidRPr="00CB33A2">
        <w:rPr>
          <w:rFonts w:asciiTheme="minorBidi" w:hAnsiTheme="minorBidi"/>
        </w:rPr>
        <w:t xml:space="preserve"> répercussions de la crise sanitaire :</w:t>
      </w:r>
    </w:p>
    <w:p w14:paraId="0C5445F4" w14:textId="77777777" w:rsidR="00C80E82" w:rsidRPr="00CB33A2" w:rsidRDefault="00C80E82" w:rsidP="00C80E82">
      <w:pPr>
        <w:pStyle w:val="Paragraphedeliste"/>
        <w:numPr>
          <w:ilvl w:val="0"/>
          <w:numId w:val="3"/>
        </w:numPr>
        <w:spacing w:after="20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ADM a fait face à une </w:t>
      </w:r>
      <w:r w:rsidRPr="00CB33A2">
        <w:rPr>
          <w:rFonts w:asciiTheme="minorBidi" w:hAnsiTheme="minorBidi"/>
          <w:b/>
        </w:rPr>
        <w:t>baisse du trafic</w:t>
      </w:r>
      <w:r w:rsidRPr="00CB33A2">
        <w:rPr>
          <w:rFonts w:asciiTheme="minorBidi" w:hAnsiTheme="minorBidi"/>
        </w:rPr>
        <w:t xml:space="preserve"> de près de 85% et donc de ses recettes.</w:t>
      </w:r>
    </w:p>
    <w:p w14:paraId="180C65FA" w14:textId="77777777" w:rsidR="00C80E82" w:rsidRPr="00CB33A2" w:rsidRDefault="00C80E82" w:rsidP="00C80E82">
      <w:pPr>
        <w:pStyle w:val="Paragraphedeliste"/>
        <w:numPr>
          <w:ilvl w:val="0"/>
          <w:numId w:val="3"/>
        </w:numPr>
        <w:spacing w:after="20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ADM doit honorer sa dette à titre de rappel le montant global est près de 40 </w:t>
      </w:r>
      <w:r w:rsidRPr="00CB33A2">
        <w:rPr>
          <w:rFonts w:asciiTheme="minorBidi" w:hAnsiTheme="minorBidi"/>
          <w:b/>
        </w:rPr>
        <w:t>milliards</w:t>
      </w:r>
      <w:r w:rsidRPr="00CB33A2">
        <w:rPr>
          <w:rFonts w:asciiTheme="minorBidi" w:hAnsiTheme="minorBidi"/>
        </w:rPr>
        <w:t xml:space="preserve"> de dirhams.</w:t>
      </w:r>
    </w:p>
    <w:p w14:paraId="2EB0F479" w14:textId="77777777" w:rsidR="00C80E82" w:rsidRPr="00CB33A2" w:rsidRDefault="00C80E82" w:rsidP="00C80E82">
      <w:pPr>
        <w:pStyle w:val="Paragraphedeliste"/>
        <w:numPr>
          <w:ilvl w:val="0"/>
          <w:numId w:val="3"/>
        </w:numPr>
        <w:spacing w:after="120" w:line="276" w:lineRule="auto"/>
        <w:ind w:right="-142"/>
        <w:contextualSpacing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ADM doit préserver </w:t>
      </w:r>
      <w:r w:rsidRPr="00CB33A2">
        <w:rPr>
          <w:rFonts w:asciiTheme="minorBidi" w:hAnsiTheme="minorBidi"/>
          <w:b/>
        </w:rPr>
        <w:t>l’ensemble de son écosystème</w:t>
      </w:r>
      <w:r w:rsidRPr="00CB33A2">
        <w:rPr>
          <w:rFonts w:asciiTheme="minorBidi" w:hAnsiTheme="minorBidi"/>
        </w:rPr>
        <w:t xml:space="preserve"> (les entreprises du BTP et de Service) sachant qu’elle a procédé à une rationalisation de son budget pour le limiter aux dépenses essentielles.</w:t>
      </w:r>
    </w:p>
    <w:p w14:paraId="559F98D4" w14:textId="77777777" w:rsidR="00C80E82" w:rsidRPr="00CB33A2" w:rsidRDefault="00C80E82" w:rsidP="00C80E82">
      <w:pPr>
        <w:spacing w:after="120"/>
        <w:ind w:right="-142"/>
        <w:jc w:val="both"/>
        <w:rPr>
          <w:rFonts w:asciiTheme="minorBidi" w:hAnsiTheme="minorBidi"/>
        </w:rPr>
      </w:pPr>
      <w:r w:rsidRPr="00CB33A2">
        <w:rPr>
          <w:rFonts w:asciiTheme="minorBidi" w:hAnsiTheme="minorBidi"/>
        </w:rPr>
        <w:t xml:space="preserve">Ainsi et dans ce contexte, ADM reste concentrée sur </w:t>
      </w:r>
      <w:r w:rsidRPr="00CB33A2">
        <w:rPr>
          <w:rFonts w:asciiTheme="minorBidi" w:hAnsiTheme="minorBidi"/>
          <w:b/>
        </w:rPr>
        <w:t>ces sujets essentiels</w:t>
      </w:r>
      <w:r w:rsidRPr="00CB33A2">
        <w:rPr>
          <w:rFonts w:asciiTheme="minorBidi" w:hAnsiTheme="minorBidi"/>
        </w:rPr>
        <w:t xml:space="preserve"> et travaille en parfaite coordination avec le Ministère de l’Economie et des Finances </w:t>
      </w:r>
      <w:r>
        <w:rPr>
          <w:rFonts w:asciiTheme="minorBidi" w:hAnsiTheme="minorBidi"/>
        </w:rPr>
        <w:t xml:space="preserve">et de la Réforme de l’Administration </w:t>
      </w:r>
      <w:r w:rsidRPr="00CB33A2">
        <w:rPr>
          <w:rFonts w:asciiTheme="minorBidi" w:hAnsiTheme="minorBidi"/>
        </w:rPr>
        <w:t xml:space="preserve">et le Ministère de l’Equipement du Transport de la Logistique et de l’Eau dans le but de trouver les solutions adéquates à l’impact de cette crise. </w:t>
      </w:r>
    </w:p>
    <w:p w14:paraId="66B6D2CE" w14:textId="77777777" w:rsidR="00C80E82" w:rsidRPr="00CB33A2" w:rsidRDefault="00C80E82" w:rsidP="00C80E82">
      <w:pPr>
        <w:spacing w:after="120"/>
        <w:ind w:right="-142"/>
        <w:jc w:val="both"/>
        <w:rPr>
          <w:rFonts w:asciiTheme="minorBidi" w:hAnsiTheme="minorBidi"/>
        </w:rPr>
      </w:pPr>
      <w:proofErr w:type="gramStart"/>
      <w:r w:rsidRPr="00CB33A2">
        <w:rPr>
          <w:rFonts w:asciiTheme="minorBidi" w:hAnsiTheme="minorBidi"/>
        </w:rPr>
        <w:t>Au vue</w:t>
      </w:r>
      <w:proofErr w:type="gramEnd"/>
      <w:r w:rsidRPr="00CB33A2">
        <w:rPr>
          <w:rFonts w:asciiTheme="minorBidi" w:hAnsiTheme="minorBidi"/>
        </w:rPr>
        <w:t xml:space="preserve"> du contexte que traverse notre Pays, ADM reste et restera mobilisée sur ses objectifs de survie et ne souhaite pas prendre part à des polémiques infondées.</w:t>
      </w:r>
    </w:p>
    <w:p w14:paraId="0EC22838" w14:textId="77777777" w:rsidR="00C80E82" w:rsidRPr="003E05D4" w:rsidRDefault="00C80E82" w:rsidP="00C80E82">
      <w:pPr>
        <w:spacing w:before="240" w:after="120"/>
        <w:ind w:right="-142"/>
        <w:jc w:val="both"/>
        <w:rPr>
          <w:rFonts w:asciiTheme="minorBidi" w:hAnsiTheme="minorBidi"/>
        </w:rPr>
      </w:pPr>
      <w:r w:rsidRPr="003E05D4">
        <w:rPr>
          <w:rFonts w:asciiTheme="minorBidi" w:hAnsiTheme="minorBidi"/>
          <w:b/>
        </w:rPr>
        <w:t>Contact Presse</w:t>
      </w:r>
      <w:r w:rsidRPr="003E05D4">
        <w:rPr>
          <w:rFonts w:asciiTheme="minorBidi" w:hAnsiTheme="minorBidi"/>
        </w:rPr>
        <w:t xml:space="preserve"> : </w:t>
      </w:r>
      <w:hyperlink r:id="rId5" w:history="1">
        <w:r w:rsidRPr="003E05D4">
          <w:rPr>
            <w:rStyle w:val="Lienhypertexte"/>
            <w:rFonts w:asciiTheme="minorBidi" w:hAnsiTheme="minorBidi"/>
          </w:rPr>
          <w:t>elouafi.sabah@adm.co.ma</w:t>
        </w:r>
      </w:hyperlink>
    </w:p>
    <w:p w14:paraId="498D97BA" w14:textId="77777777" w:rsidR="00C80E82" w:rsidRPr="003E05D4" w:rsidRDefault="00C80E82" w:rsidP="00C80E82">
      <w:pPr>
        <w:tabs>
          <w:tab w:val="left" w:pos="2535"/>
        </w:tabs>
        <w:rPr>
          <w:rFonts w:asciiTheme="minorBidi" w:hAnsiTheme="minorBidi"/>
          <w:b/>
          <w:bCs/>
        </w:rPr>
      </w:pPr>
      <w:r w:rsidRPr="003E05D4">
        <w:rPr>
          <w:rFonts w:ascii="Arial" w:eastAsia="Arial" w:hAnsi="Arial" w:cs="Arial"/>
          <w:b/>
        </w:rPr>
        <w:t>Pour plus d’information, prière de :</w:t>
      </w:r>
    </w:p>
    <w:p w14:paraId="58029AED" w14:textId="77777777" w:rsidR="00C80E82" w:rsidRPr="003E05D4" w:rsidRDefault="00C80E82" w:rsidP="00C80E8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3E05D4">
        <w:rPr>
          <w:rFonts w:ascii="Arial" w:eastAsia="Arial Unicode MS" w:hAnsi="Arial" w:cs="Arial"/>
          <w:sz w:val="20"/>
          <w:szCs w:val="20"/>
        </w:rPr>
        <w:t>Contacter le centre d’appel au n°5050,</w:t>
      </w:r>
    </w:p>
    <w:p w14:paraId="76FE6690" w14:textId="77777777" w:rsidR="00C80E82" w:rsidRPr="003E05D4" w:rsidRDefault="00C80E82" w:rsidP="00C80E8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  <w:sz w:val="20"/>
          <w:szCs w:val="20"/>
        </w:rPr>
      </w:pPr>
      <w:r w:rsidRPr="003E05D4">
        <w:rPr>
          <w:rFonts w:ascii="Arial" w:eastAsia="Arial Unicode MS" w:hAnsi="Arial" w:cs="Arial"/>
          <w:sz w:val="20"/>
          <w:szCs w:val="20"/>
        </w:rPr>
        <w:t xml:space="preserve">Consulter l’appli </w:t>
      </w:r>
      <w:r w:rsidRPr="003E05D4">
        <w:rPr>
          <w:rFonts w:ascii="Arial" w:eastAsia="Arial Unicode MS" w:hAnsi="Arial" w:cs="Arial"/>
          <w:b/>
          <w:bCs/>
          <w:sz w:val="20"/>
          <w:szCs w:val="20"/>
        </w:rPr>
        <w:t>ADM Trafic</w:t>
      </w:r>
      <w:r w:rsidRPr="003E05D4">
        <w:rPr>
          <w:rFonts w:ascii="Arial" w:eastAsia="Arial Unicode MS" w:hAnsi="Arial" w:cs="Arial"/>
          <w:sz w:val="20"/>
          <w:szCs w:val="20"/>
        </w:rPr>
        <w:t xml:space="preserve"> pour s’enquérir de l’état du trafic en instantané,</w:t>
      </w:r>
    </w:p>
    <w:p w14:paraId="4BE73D73" w14:textId="4961BBC0" w:rsidR="00C80E82" w:rsidRPr="00C80E82" w:rsidRDefault="00C80E82" w:rsidP="00C80E8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  <w:sz w:val="20"/>
          <w:szCs w:val="20"/>
        </w:rPr>
      </w:pPr>
      <w:r w:rsidRPr="003E05D4">
        <w:rPr>
          <w:rFonts w:ascii="Arial" w:eastAsia="Arial Unicode MS" w:hAnsi="Arial" w:cs="Arial"/>
          <w:sz w:val="20"/>
          <w:szCs w:val="20"/>
        </w:rPr>
        <w:t>Voir les liens en bas de page.</w:t>
      </w:r>
    </w:p>
    <w:sectPr w:rsidR="00C80E82" w:rsidRPr="00C80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B8B"/>
    <w:multiLevelType w:val="hybridMultilevel"/>
    <w:tmpl w:val="6D04CAB4"/>
    <w:lvl w:ilvl="0" w:tplc="380C000F">
      <w:start w:val="1"/>
      <w:numFmt w:val="decimal"/>
      <w:lvlText w:val="%1."/>
      <w:lvlJc w:val="left"/>
      <w:pPr>
        <w:ind w:left="771" w:hanging="360"/>
      </w:pPr>
    </w:lvl>
    <w:lvl w:ilvl="1" w:tplc="380C0019" w:tentative="1">
      <w:start w:val="1"/>
      <w:numFmt w:val="lowerLetter"/>
      <w:lvlText w:val="%2."/>
      <w:lvlJc w:val="left"/>
      <w:pPr>
        <w:ind w:left="1491" w:hanging="360"/>
      </w:pPr>
    </w:lvl>
    <w:lvl w:ilvl="2" w:tplc="380C001B" w:tentative="1">
      <w:start w:val="1"/>
      <w:numFmt w:val="lowerRoman"/>
      <w:lvlText w:val="%3."/>
      <w:lvlJc w:val="right"/>
      <w:pPr>
        <w:ind w:left="2211" w:hanging="180"/>
      </w:pPr>
    </w:lvl>
    <w:lvl w:ilvl="3" w:tplc="380C000F" w:tentative="1">
      <w:start w:val="1"/>
      <w:numFmt w:val="decimal"/>
      <w:lvlText w:val="%4."/>
      <w:lvlJc w:val="left"/>
      <w:pPr>
        <w:ind w:left="2931" w:hanging="360"/>
      </w:pPr>
    </w:lvl>
    <w:lvl w:ilvl="4" w:tplc="380C0019" w:tentative="1">
      <w:start w:val="1"/>
      <w:numFmt w:val="lowerLetter"/>
      <w:lvlText w:val="%5."/>
      <w:lvlJc w:val="left"/>
      <w:pPr>
        <w:ind w:left="3651" w:hanging="360"/>
      </w:pPr>
    </w:lvl>
    <w:lvl w:ilvl="5" w:tplc="380C001B" w:tentative="1">
      <w:start w:val="1"/>
      <w:numFmt w:val="lowerRoman"/>
      <w:lvlText w:val="%6."/>
      <w:lvlJc w:val="right"/>
      <w:pPr>
        <w:ind w:left="4371" w:hanging="180"/>
      </w:pPr>
    </w:lvl>
    <w:lvl w:ilvl="6" w:tplc="380C000F" w:tentative="1">
      <w:start w:val="1"/>
      <w:numFmt w:val="decimal"/>
      <w:lvlText w:val="%7."/>
      <w:lvlJc w:val="left"/>
      <w:pPr>
        <w:ind w:left="5091" w:hanging="360"/>
      </w:pPr>
    </w:lvl>
    <w:lvl w:ilvl="7" w:tplc="380C0019" w:tentative="1">
      <w:start w:val="1"/>
      <w:numFmt w:val="lowerLetter"/>
      <w:lvlText w:val="%8."/>
      <w:lvlJc w:val="left"/>
      <w:pPr>
        <w:ind w:left="5811" w:hanging="360"/>
      </w:pPr>
    </w:lvl>
    <w:lvl w:ilvl="8" w:tplc="38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5C486FDD"/>
    <w:multiLevelType w:val="hybridMultilevel"/>
    <w:tmpl w:val="6242082C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2"/>
    <w:rsid w:val="00C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264A"/>
  <w15:chartTrackingRefBased/>
  <w15:docId w15:val="{28A00CB7-4550-41FA-A55A-A0FEA08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80E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80E82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rsid w:val="00C80E8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80E82"/>
    <w:pPr>
      <w:ind w:left="708"/>
    </w:pPr>
    <w:rPr>
      <w:sz w:val="24"/>
      <w:szCs w:val="24"/>
    </w:rPr>
  </w:style>
  <w:style w:type="character" w:customStyle="1" w:styleId="Aucun">
    <w:name w:val="Aucun"/>
    <w:rsid w:val="00C80E8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2020-07-17T13:57:00Z</dcterms:created>
  <dcterms:modified xsi:type="dcterms:W3CDTF">2020-07-17T13:58:00Z</dcterms:modified>
</cp:coreProperties>
</file>